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1565"/>
        <w:gridCol w:w="2366"/>
        <w:gridCol w:w="3303"/>
      </w:tblGrid>
      <w:tr w:rsidR="009E5FE3" w:rsidTr="00720D0B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9E5FE3" w:rsidRPr="00FA1BFD" w:rsidRDefault="00610179" w:rsidP="006C5FDB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</w:t>
            </w:r>
            <w:r w:rsidR="0097066D">
              <w:rPr>
                <w:b/>
              </w:rPr>
              <w:t>6</w:t>
            </w:r>
            <w:r w:rsidR="006C5FDB">
              <w:rPr>
                <w:b/>
              </w:rPr>
              <w:t>9</w:t>
            </w:r>
          </w:p>
        </w:tc>
        <w:tc>
          <w:tcPr>
            <w:tcW w:w="3303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720D0B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931" w:type="dxa"/>
            <w:gridSpan w:val="2"/>
          </w:tcPr>
          <w:p w:rsidR="009E5FE3" w:rsidRPr="00720D0B" w:rsidRDefault="006C5FDB" w:rsidP="00DD15D1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36"/>
                <w:szCs w:val="36"/>
                <w:shd w:val="clear" w:color="auto" w:fill="FFFFFF"/>
              </w:rPr>
              <w:t>Bièrologie : initiation à l’étude des bières</w:t>
            </w:r>
          </w:p>
        </w:tc>
        <w:tc>
          <w:tcPr>
            <w:tcW w:w="3303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>Date de l’accord par le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NonAcquis</w:t>
      </w:r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7837"/>
        <w:gridCol w:w="1271"/>
        <w:gridCol w:w="1259"/>
      </w:tblGrid>
      <w:tr w:rsidR="005D102D" w:rsidRPr="00947C04" w:rsidTr="001B45B0">
        <w:tc>
          <w:tcPr>
            <w:tcW w:w="521" w:type="dxa"/>
            <w:tcBorders>
              <w:top w:val="nil"/>
              <w:left w:val="nil"/>
              <w:bottom w:val="nil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37391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97066D" w:rsidRDefault="006C5FDB" w:rsidP="00DF2B0E">
            <w:pPr>
              <w:pStyle w:val="Sansinterligne"/>
            </w:pPr>
            <w:r>
              <w:t xml:space="preserve">De </w:t>
            </w:r>
            <w:r>
              <w:t xml:space="preserve">préciser l’importance des pratiques brassicoles sur la qualité des bières ; </w:t>
            </w:r>
          </w:p>
          <w:p w:rsidR="006C5FDB" w:rsidRPr="002B3C0B" w:rsidRDefault="006C5FDB" w:rsidP="00DF2B0E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F2B0E" w:rsidRPr="00DF2B0E" w:rsidRDefault="006C5FDB" w:rsidP="0097066D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 xml:space="preserve">De </w:t>
            </w:r>
            <w:r>
              <w:t>décrire les phases de production pour la détermination des différents types de bière 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F471D8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F471D8" w:rsidRPr="002B3C0B" w:rsidRDefault="00F471D8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97066D" w:rsidRPr="00F471D8" w:rsidRDefault="006C5FDB" w:rsidP="006C5FDB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D’</w:t>
            </w:r>
            <w:r>
              <w:t>identifier les caractéristiques des matières premières pour la fabrication des bières;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F471D8" w:rsidRPr="002B3C0B" w:rsidRDefault="00F471D8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F471D8" w:rsidRPr="002B3C0B" w:rsidRDefault="00F471D8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97066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66D" w:rsidRDefault="0097066D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97066D" w:rsidRDefault="006C5FDB" w:rsidP="00DD15D1">
            <w:pPr>
              <w:pStyle w:val="Sansinterligne"/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D’</w:t>
            </w:r>
            <w:r>
              <w:t>appliquer les techniques d’analyse d’une bière à travers la dégustation.</w:t>
            </w:r>
          </w:p>
          <w:p w:rsidR="006C5FDB" w:rsidRPr="0097066D" w:rsidRDefault="006C5FDB" w:rsidP="00DD15D1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97066D" w:rsidRPr="002B3C0B" w:rsidRDefault="0097066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97066D" w:rsidRPr="002B3C0B" w:rsidRDefault="0097066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Consignes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DD760A" w:rsidRPr="00945294" w:rsidRDefault="006C5FDB" w:rsidP="0097066D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sz w:val="20"/>
          <w:szCs w:val="20"/>
          <w:lang w:eastAsia="fr-BE"/>
        </w:rPr>
        <w:t>l</w:t>
      </w:r>
      <w:r>
        <w:t>e degré de pertinence pour commenter les facteurs influ</w:t>
      </w:r>
      <w:r>
        <w:t xml:space="preserve">ençant la qualité d’une bière + </w:t>
      </w:r>
      <w:r>
        <w:t xml:space="preserve"> le niveau de précision pour décrire les caractéristiques spécifiques lors de l’élaboration </w:t>
      </w:r>
      <w:r>
        <w:t xml:space="preserve">des différents types bières + </w:t>
      </w:r>
      <w:r>
        <w:t>la finesse de l’analyse lors de la dégustation d’une bière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610179">
        <w:tc>
          <w:tcPr>
            <w:tcW w:w="6818" w:type="dxa"/>
          </w:tcPr>
          <w:p w:rsidR="00610179" w:rsidRPr="00EA370D" w:rsidRDefault="006C5FDB" w:rsidP="00720D0B">
            <w:pPr>
              <w:pStyle w:val="Sansinterligne"/>
              <w:keepNext/>
              <w:keepLines/>
              <w:rPr>
                <w:sz w:val="20"/>
                <w:szCs w:val="20"/>
              </w:rPr>
            </w:pPr>
            <w:r>
              <w:t>Bièrologie : « Initiation à l’étude des bières : technologie »</w:t>
            </w:r>
          </w:p>
        </w:tc>
        <w:tc>
          <w:tcPr>
            <w:tcW w:w="850" w:type="dxa"/>
            <w:vAlign w:val="center"/>
          </w:tcPr>
          <w:p w:rsidR="00610179" w:rsidRPr="00947C04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10179" w:rsidRDefault="00DD15D1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2B0E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6C5FDB" w:rsidP="00720D0B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t>Bièrologie : « Initiation à l’étude des bières : laboratoire »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97066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DF2B0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09" w:rsidRDefault="00A55C09" w:rsidP="000905A7">
      <w:r>
        <w:separator/>
      </w:r>
    </w:p>
  </w:endnote>
  <w:endnote w:type="continuationSeparator" w:id="0">
    <w:p w:rsidR="00A55C09" w:rsidRDefault="00A55C09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9145B2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5F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A55C09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9145B2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9145B2" w:rsidRPr="006F1CA7">
      <w:rPr>
        <w:sz w:val="18"/>
        <w:szCs w:val="18"/>
      </w:rPr>
      <w:fldChar w:fldCharType="separate"/>
    </w:r>
    <w:r w:rsidR="006C5FDB">
      <w:rPr>
        <w:noProof/>
        <w:sz w:val="18"/>
        <w:szCs w:val="18"/>
      </w:rPr>
      <w:t>2/10/2015</w:t>
    </w:r>
    <w:r w:rsidR="009145B2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6C5FDB">
      <w:rPr>
        <w:sz w:val="16"/>
        <w:szCs w:val="16"/>
      </w:rPr>
      <w:t>Bièrologie - Initiation</w:t>
    </w:r>
    <w:r w:rsidR="00691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09" w:rsidRDefault="00A55C09" w:rsidP="000905A7">
      <w:r>
        <w:separator/>
      </w:r>
    </w:p>
  </w:footnote>
  <w:footnote w:type="continuationSeparator" w:id="0">
    <w:p w:rsidR="00A55C09" w:rsidRDefault="00A55C09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74E2"/>
    <w:multiLevelType w:val="hybridMultilevel"/>
    <w:tmpl w:val="F4144BAC"/>
    <w:lvl w:ilvl="0" w:tplc="6BD2C1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37732"/>
    <w:rsid w:val="00042912"/>
    <w:rsid w:val="000572F5"/>
    <w:rsid w:val="00065E73"/>
    <w:rsid w:val="000749E8"/>
    <w:rsid w:val="0008008E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B45B0"/>
    <w:rsid w:val="001C01A0"/>
    <w:rsid w:val="001C72BC"/>
    <w:rsid w:val="001E1934"/>
    <w:rsid w:val="001F1716"/>
    <w:rsid w:val="0020271A"/>
    <w:rsid w:val="00220450"/>
    <w:rsid w:val="00241B24"/>
    <w:rsid w:val="0024288D"/>
    <w:rsid w:val="00260B51"/>
    <w:rsid w:val="00273229"/>
    <w:rsid w:val="002B3C0B"/>
    <w:rsid w:val="002D1464"/>
    <w:rsid w:val="002E0E91"/>
    <w:rsid w:val="003001AF"/>
    <w:rsid w:val="003148DC"/>
    <w:rsid w:val="00331081"/>
    <w:rsid w:val="00360D90"/>
    <w:rsid w:val="003617D9"/>
    <w:rsid w:val="003861AE"/>
    <w:rsid w:val="00386A8E"/>
    <w:rsid w:val="003E433C"/>
    <w:rsid w:val="003E484C"/>
    <w:rsid w:val="0041058D"/>
    <w:rsid w:val="004170D4"/>
    <w:rsid w:val="00422462"/>
    <w:rsid w:val="00425882"/>
    <w:rsid w:val="00427305"/>
    <w:rsid w:val="004326DC"/>
    <w:rsid w:val="00441AE5"/>
    <w:rsid w:val="00460CA5"/>
    <w:rsid w:val="00473201"/>
    <w:rsid w:val="00474701"/>
    <w:rsid w:val="00476010"/>
    <w:rsid w:val="004A5863"/>
    <w:rsid w:val="004B4C6A"/>
    <w:rsid w:val="004C0D5C"/>
    <w:rsid w:val="004E13B8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0179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858A0"/>
    <w:rsid w:val="006915EF"/>
    <w:rsid w:val="006A5C55"/>
    <w:rsid w:val="006A7BCF"/>
    <w:rsid w:val="006C5FDB"/>
    <w:rsid w:val="006D42FE"/>
    <w:rsid w:val="006F1CA7"/>
    <w:rsid w:val="006F3386"/>
    <w:rsid w:val="00704AEB"/>
    <w:rsid w:val="00720D0B"/>
    <w:rsid w:val="00765E79"/>
    <w:rsid w:val="007732FD"/>
    <w:rsid w:val="007C5D85"/>
    <w:rsid w:val="007C6CCF"/>
    <w:rsid w:val="007D1DAC"/>
    <w:rsid w:val="007F0E5B"/>
    <w:rsid w:val="007F5186"/>
    <w:rsid w:val="00800A99"/>
    <w:rsid w:val="008020BA"/>
    <w:rsid w:val="00805FF4"/>
    <w:rsid w:val="008176A3"/>
    <w:rsid w:val="00841505"/>
    <w:rsid w:val="00853E1F"/>
    <w:rsid w:val="0087325B"/>
    <w:rsid w:val="00886DB2"/>
    <w:rsid w:val="00887C42"/>
    <w:rsid w:val="00894649"/>
    <w:rsid w:val="008A23ED"/>
    <w:rsid w:val="008B65EB"/>
    <w:rsid w:val="008F16F3"/>
    <w:rsid w:val="00906A9E"/>
    <w:rsid w:val="009145B2"/>
    <w:rsid w:val="00927F2B"/>
    <w:rsid w:val="00945294"/>
    <w:rsid w:val="0094653E"/>
    <w:rsid w:val="00947C04"/>
    <w:rsid w:val="009536E3"/>
    <w:rsid w:val="00955BB1"/>
    <w:rsid w:val="00964CF0"/>
    <w:rsid w:val="0097066D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A035CA"/>
    <w:rsid w:val="00A11776"/>
    <w:rsid w:val="00A21223"/>
    <w:rsid w:val="00A43B54"/>
    <w:rsid w:val="00A55C09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471A2"/>
    <w:rsid w:val="00C475E3"/>
    <w:rsid w:val="00C61C70"/>
    <w:rsid w:val="00C84AEB"/>
    <w:rsid w:val="00C92396"/>
    <w:rsid w:val="00CB4528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554F0"/>
    <w:rsid w:val="00D73A90"/>
    <w:rsid w:val="00D77BA1"/>
    <w:rsid w:val="00D80AD5"/>
    <w:rsid w:val="00D81F9B"/>
    <w:rsid w:val="00D86D7B"/>
    <w:rsid w:val="00DD15D1"/>
    <w:rsid w:val="00DD760A"/>
    <w:rsid w:val="00DF2435"/>
    <w:rsid w:val="00DF2B0E"/>
    <w:rsid w:val="00E04AD6"/>
    <w:rsid w:val="00E06120"/>
    <w:rsid w:val="00E271B8"/>
    <w:rsid w:val="00E365AC"/>
    <w:rsid w:val="00E52870"/>
    <w:rsid w:val="00E829AD"/>
    <w:rsid w:val="00EB2AD8"/>
    <w:rsid w:val="00ED767F"/>
    <w:rsid w:val="00EE14CB"/>
    <w:rsid w:val="00EE3BCE"/>
    <w:rsid w:val="00EF6E5D"/>
    <w:rsid w:val="00F32447"/>
    <w:rsid w:val="00F37C06"/>
    <w:rsid w:val="00F471D8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A6C5E0-153F-4F79-92B1-BD7B3AA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E4D5B-4E9C-453C-8717-7FC69CA4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 Cefor</cp:lastModifiedBy>
  <cp:revision>5</cp:revision>
  <cp:lastPrinted>2013-01-10T12:02:00Z</cp:lastPrinted>
  <dcterms:created xsi:type="dcterms:W3CDTF">2014-12-18T17:25:00Z</dcterms:created>
  <dcterms:modified xsi:type="dcterms:W3CDTF">2015-10-02T15:13:00Z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