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 w:firstRow="1" w:lastRow="1" w:firstColumn="1" w:lastColumn="1" w:noHBand="0" w:noVBand="0"/>
      </w:tblPr>
      <w:tblGrid>
        <w:gridCol w:w="3616"/>
        <w:gridCol w:w="1565"/>
        <w:gridCol w:w="2366"/>
        <w:gridCol w:w="3303"/>
      </w:tblGrid>
      <w:tr w:rsidR="009E5FE3" w:rsidTr="00720D0B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9E5FE3" w:rsidRPr="00FA1BFD" w:rsidRDefault="00610179" w:rsidP="00DF2B0E">
            <w:pPr>
              <w:rPr>
                <w:rFonts w:ascii="Tahoma" w:hAnsi="Tahoma"/>
                <w:b/>
              </w:rPr>
            </w:pPr>
            <w:r>
              <w:rPr>
                <w:b/>
              </w:rPr>
              <w:t>4</w:t>
            </w:r>
            <w:r w:rsidR="00DF2B0E">
              <w:rPr>
                <w:b/>
              </w:rPr>
              <w:t>71</w:t>
            </w:r>
          </w:p>
        </w:tc>
        <w:tc>
          <w:tcPr>
            <w:tcW w:w="3303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720D0B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931" w:type="dxa"/>
            <w:gridSpan w:val="2"/>
          </w:tcPr>
          <w:p w:rsidR="009E5FE3" w:rsidRPr="00720D0B" w:rsidRDefault="00DF2B0E" w:rsidP="001B45B0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Biérologie : Connaissance des bières belges</w:t>
            </w:r>
          </w:p>
        </w:tc>
        <w:tc>
          <w:tcPr>
            <w:tcW w:w="3303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>Date de l’accord par le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NonAcquis</w:t>
      </w:r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7837"/>
        <w:gridCol w:w="1271"/>
        <w:gridCol w:w="1259"/>
      </w:tblGrid>
      <w:tr w:rsidR="005D102D" w:rsidRPr="00947C04" w:rsidTr="001B45B0">
        <w:tc>
          <w:tcPr>
            <w:tcW w:w="521" w:type="dxa"/>
            <w:tcBorders>
              <w:top w:val="nil"/>
              <w:left w:val="nil"/>
              <w:bottom w:val="nil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C37391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1B45B0" w:rsidRPr="00947C04" w:rsidTr="001B45B0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1B45B0" w:rsidRPr="002B3C0B" w:rsidRDefault="001B45B0" w:rsidP="00887C4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03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10179" w:rsidRPr="00610179" w:rsidRDefault="00610179" w:rsidP="00F471D8"/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DF2B0E" w:rsidRPr="00DF2B0E" w:rsidRDefault="00DF2B0E" w:rsidP="00DF2B0E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 xml:space="preserve">de </w:t>
            </w:r>
            <w:r w:rsidRPr="00DF2B0E"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préciser l’importance du choix des ingrédients, du brassage et des différentes</w:t>
            </w:r>
          </w:p>
          <w:p w:rsidR="00610179" w:rsidRPr="002B3C0B" w:rsidRDefault="00DF2B0E" w:rsidP="00DF2B0E">
            <w:pPr>
              <w:pStyle w:val="Sansinterligne"/>
              <w:rPr>
                <w:sz w:val="18"/>
                <w:szCs w:val="18"/>
              </w:rPr>
            </w:pPr>
            <w:r w:rsidRPr="00DF2B0E"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fermentations …pour la détermination des types de bières belges et de leurs qualités 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DF2B0E" w:rsidRPr="00DF2B0E" w:rsidRDefault="00DF2B0E" w:rsidP="00720D0B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de</w:t>
            </w:r>
            <w:r w:rsidRPr="00DF2B0E"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 xml:space="preserve"> commenter un examen visuel et gustatif des bières belges proposées ;</w:t>
            </w:r>
            <w:r w:rsidRPr="00DF2B0E"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cr/>
            </w: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br/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F471D8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F471D8" w:rsidRPr="002B3C0B" w:rsidRDefault="00F471D8" w:rsidP="00887C42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F471D8" w:rsidRPr="00F471D8" w:rsidRDefault="00DF2B0E" w:rsidP="00720D0B">
            <w:pPr>
              <w:pStyle w:val="Sansinterligne"/>
              <w:rPr>
                <w:rFonts w:asciiTheme="minorHAnsi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 xml:space="preserve">de </w:t>
            </w:r>
            <w:r w:rsidRPr="00DF2B0E"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t>sélectionner des accompagnements judicieux pour les bières belges proposées</w:t>
            </w:r>
            <w:r>
              <w:rPr>
                <w:rFonts w:asciiTheme="minorHAnsi" w:hAnsiTheme="minorHAnsi" w:cstheme="minorHAnsi"/>
                <w:sz w:val="20"/>
                <w:szCs w:val="20"/>
                <w:lang w:eastAsia="fr-BE"/>
              </w:rPr>
              <w:br/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F471D8" w:rsidRPr="002B3C0B" w:rsidRDefault="00F471D8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F471D8" w:rsidRPr="002B3C0B" w:rsidRDefault="00F471D8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Consignes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DF2B0E" w:rsidRDefault="00DF2B0E" w:rsidP="00DF2B0E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 w:rsidRPr="00DF2B0E">
        <w:rPr>
          <w:sz w:val="20"/>
          <w:szCs w:val="20"/>
          <w:lang w:eastAsia="fr-BE"/>
        </w:rPr>
        <w:t>le niveau de précision des critères différenciant les types de bières belges et leurs</w:t>
      </w:r>
      <w:r>
        <w:rPr>
          <w:sz w:val="20"/>
          <w:szCs w:val="20"/>
          <w:lang w:eastAsia="fr-BE"/>
        </w:rPr>
        <w:t xml:space="preserve"> qualités+ </w:t>
      </w:r>
    </w:p>
    <w:p w:rsidR="00DF2B0E" w:rsidRDefault="00DF2B0E" w:rsidP="00DF2B0E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 w:rsidRPr="00DF2B0E">
        <w:rPr>
          <w:sz w:val="20"/>
          <w:szCs w:val="20"/>
          <w:lang w:eastAsia="fr-BE"/>
        </w:rPr>
        <w:t>la finesse de l’analyse lors de la</w:t>
      </w:r>
      <w:r>
        <w:rPr>
          <w:sz w:val="20"/>
          <w:szCs w:val="20"/>
          <w:lang w:eastAsia="fr-BE"/>
        </w:rPr>
        <w:t xml:space="preserve"> dégustation d’une bière belge + </w:t>
      </w:r>
      <w:r w:rsidRPr="00DF2B0E">
        <w:rPr>
          <w:sz w:val="20"/>
          <w:szCs w:val="20"/>
          <w:lang w:eastAsia="fr-BE"/>
        </w:rPr>
        <w:t xml:space="preserve"> </w:t>
      </w:r>
    </w:p>
    <w:p w:rsidR="00DD760A" w:rsidRPr="00945294" w:rsidRDefault="00DF2B0E" w:rsidP="00DF2B0E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 w:rsidRPr="00DF2B0E">
        <w:rPr>
          <w:sz w:val="20"/>
          <w:szCs w:val="20"/>
          <w:lang w:eastAsia="fr-BE"/>
        </w:rPr>
        <w:t>le degré de pertinence dans des propositions d’accompagnements.</w:t>
      </w: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610179">
        <w:tc>
          <w:tcPr>
            <w:tcW w:w="6818" w:type="dxa"/>
          </w:tcPr>
          <w:p w:rsidR="00610179" w:rsidRPr="00EA370D" w:rsidRDefault="00DF2B0E" w:rsidP="00720D0B">
            <w:pPr>
              <w:pStyle w:val="Sansinterligne"/>
              <w:keepNext/>
              <w:keepLines/>
              <w:rPr>
                <w:sz w:val="20"/>
                <w:szCs w:val="20"/>
              </w:rPr>
            </w:pPr>
            <w:r w:rsidRPr="00DF2B0E">
              <w:rPr>
                <w:sz w:val="20"/>
                <w:szCs w:val="20"/>
              </w:rPr>
              <w:t>Bièrologie : connaissance des bières belges - Technologie</w:t>
            </w:r>
          </w:p>
        </w:tc>
        <w:tc>
          <w:tcPr>
            <w:tcW w:w="850" w:type="dxa"/>
            <w:vAlign w:val="center"/>
          </w:tcPr>
          <w:p w:rsidR="00610179" w:rsidRPr="00947C04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10179" w:rsidRDefault="00DF2B0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0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DF2B0E">
        <w:tc>
          <w:tcPr>
            <w:tcW w:w="6818" w:type="dxa"/>
          </w:tcPr>
          <w:p w:rsidR="00DF2B0E" w:rsidRPr="00DD760A" w:rsidRDefault="00DF2B0E" w:rsidP="00720D0B">
            <w:pPr>
              <w:pStyle w:val="Sansinterligne"/>
              <w:keepNext/>
              <w:keepLines/>
              <w:rPr>
                <w:sz w:val="20"/>
                <w:szCs w:val="20"/>
              </w:rPr>
            </w:pPr>
            <w:r w:rsidRPr="00DF2B0E">
              <w:rPr>
                <w:sz w:val="20"/>
                <w:szCs w:val="20"/>
              </w:rPr>
              <w:t>Bièrologie : connaissance des bières belges - Laboratoire</w:t>
            </w:r>
          </w:p>
        </w:tc>
        <w:tc>
          <w:tcPr>
            <w:tcW w:w="850" w:type="dxa"/>
            <w:vAlign w:val="center"/>
          </w:tcPr>
          <w:p w:rsidR="00DF2B0E" w:rsidRPr="00947C04" w:rsidRDefault="00DF2B0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2B0E" w:rsidRDefault="00DF2B0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F2B0E" w:rsidRDefault="00DF2B0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:rsidR="00DF2B0E" w:rsidRDefault="00DF2B0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DF2B0E" w:rsidP="00720D0B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 w:rsidRPr="00DF2B0E">
              <w:rPr>
                <w:sz w:val="20"/>
                <w:szCs w:val="20"/>
              </w:rPr>
              <w:t>Législation et hygiène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DD760A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DF2B0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01" w:rsidRDefault="00B07E01" w:rsidP="000905A7">
      <w:r>
        <w:separator/>
      </w:r>
    </w:p>
  </w:endnote>
  <w:endnote w:type="continuationSeparator" w:id="0">
    <w:p w:rsidR="00B07E01" w:rsidRDefault="00B07E01" w:rsidP="000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9145B2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2B0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B07E01" w:rsidP="00C224C7">
    <w:pPr>
      <w:pStyle w:val="Pieddepage"/>
      <w:ind w:right="360"/>
    </w:pPr>
    <w:r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="009145B2"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="009145B2" w:rsidRPr="006F1CA7">
      <w:rPr>
        <w:sz w:val="18"/>
        <w:szCs w:val="18"/>
      </w:rPr>
      <w:fldChar w:fldCharType="separate"/>
    </w:r>
    <w:r w:rsidR="00DF2B0E">
      <w:rPr>
        <w:noProof/>
        <w:sz w:val="18"/>
        <w:szCs w:val="18"/>
      </w:rPr>
      <w:t>18/12/2014</w:t>
    </w:r>
    <w:r w:rsidR="009145B2"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E365AC">
      <w:rPr>
        <w:sz w:val="16"/>
        <w:szCs w:val="16"/>
      </w:rPr>
      <w:t xml:space="preserve"> – </w:t>
    </w:r>
    <w:r w:rsidR="00DF2B0E">
      <w:rPr>
        <w:sz w:val="16"/>
        <w:szCs w:val="16"/>
      </w:rPr>
      <w:t>Bièrologie – Bières belges</w:t>
    </w:r>
    <w:r w:rsidR="006915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01" w:rsidRDefault="00B07E01" w:rsidP="000905A7">
      <w:r>
        <w:separator/>
      </w:r>
    </w:p>
  </w:footnote>
  <w:footnote w:type="continuationSeparator" w:id="0">
    <w:p w:rsidR="00B07E01" w:rsidRDefault="00B07E01" w:rsidP="000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E74E2"/>
    <w:multiLevelType w:val="hybridMultilevel"/>
    <w:tmpl w:val="F4144BAC"/>
    <w:lvl w:ilvl="0" w:tplc="6BD2C1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4E"/>
    <w:rsid w:val="00010C57"/>
    <w:rsid w:val="00037732"/>
    <w:rsid w:val="00042912"/>
    <w:rsid w:val="000572F5"/>
    <w:rsid w:val="00065E73"/>
    <w:rsid w:val="000749E8"/>
    <w:rsid w:val="0008008E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B45B0"/>
    <w:rsid w:val="001C01A0"/>
    <w:rsid w:val="001C72BC"/>
    <w:rsid w:val="001E1934"/>
    <w:rsid w:val="001F1716"/>
    <w:rsid w:val="0020271A"/>
    <w:rsid w:val="00220450"/>
    <w:rsid w:val="00241B24"/>
    <w:rsid w:val="0024288D"/>
    <w:rsid w:val="00260B51"/>
    <w:rsid w:val="00273229"/>
    <w:rsid w:val="002B3C0B"/>
    <w:rsid w:val="002D1464"/>
    <w:rsid w:val="002E0E91"/>
    <w:rsid w:val="003001AF"/>
    <w:rsid w:val="003148DC"/>
    <w:rsid w:val="00331081"/>
    <w:rsid w:val="00360D90"/>
    <w:rsid w:val="003617D9"/>
    <w:rsid w:val="003861AE"/>
    <w:rsid w:val="00386A8E"/>
    <w:rsid w:val="003E433C"/>
    <w:rsid w:val="003E484C"/>
    <w:rsid w:val="0041058D"/>
    <w:rsid w:val="004170D4"/>
    <w:rsid w:val="00422462"/>
    <w:rsid w:val="00425882"/>
    <w:rsid w:val="00427305"/>
    <w:rsid w:val="004326DC"/>
    <w:rsid w:val="00441AE5"/>
    <w:rsid w:val="00460CA5"/>
    <w:rsid w:val="00473201"/>
    <w:rsid w:val="00474701"/>
    <w:rsid w:val="00476010"/>
    <w:rsid w:val="004A5863"/>
    <w:rsid w:val="004B4C6A"/>
    <w:rsid w:val="004C0D5C"/>
    <w:rsid w:val="004E13B8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0179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915EF"/>
    <w:rsid w:val="006A5C55"/>
    <w:rsid w:val="006A7BCF"/>
    <w:rsid w:val="006D42FE"/>
    <w:rsid w:val="006F1CA7"/>
    <w:rsid w:val="006F3386"/>
    <w:rsid w:val="00704AEB"/>
    <w:rsid w:val="00720D0B"/>
    <w:rsid w:val="00765E79"/>
    <w:rsid w:val="007732FD"/>
    <w:rsid w:val="007C5D85"/>
    <w:rsid w:val="007C6CCF"/>
    <w:rsid w:val="007D1DAC"/>
    <w:rsid w:val="007F0E5B"/>
    <w:rsid w:val="007F5186"/>
    <w:rsid w:val="00800A99"/>
    <w:rsid w:val="008020BA"/>
    <w:rsid w:val="00805FF4"/>
    <w:rsid w:val="008176A3"/>
    <w:rsid w:val="00841505"/>
    <w:rsid w:val="00853E1F"/>
    <w:rsid w:val="0087325B"/>
    <w:rsid w:val="00886DB2"/>
    <w:rsid w:val="00887C42"/>
    <w:rsid w:val="00894649"/>
    <w:rsid w:val="008A23ED"/>
    <w:rsid w:val="008B65EB"/>
    <w:rsid w:val="008F16F3"/>
    <w:rsid w:val="00906A9E"/>
    <w:rsid w:val="009145B2"/>
    <w:rsid w:val="00927F2B"/>
    <w:rsid w:val="00945294"/>
    <w:rsid w:val="0094653E"/>
    <w:rsid w:val="00947C04"/>
    <w:rsid w:val="009536E3"/>
    <w:rsid w:val="00955BB1"/>
    <w:rsid w:val="00964CF0"/>
    <w:rsid w:val="00970E5E"/>
    <w:rsid w:val="009805FD"/>
    <w:rsid w:val="0098309C"/>
    <w:rsid w:val="009975A7"/>
    <w:rsid w:val="009A5CCA"/>
    <w:rsid w:val="009E01C1"/>
    <w:rsid w:val="009E34B2"/>
    <w:rsid w:val="009E5FE3"/>
    <w:rsid w:val="009E6A26"/>
    <w:rsid w:val="00A035CA"/>
    <w:rsid w:val="00A11776"/>
    <w:rsid w:val="00A21223"/>
    <w:rsid w:val="00A43B54"/>
    <w:rsid w:val="00A70CAB"/>
    <w:rsid w:val="00A73BC0"/>
    <w:rsid w:val="00AB1DF6"/>
    <w:rsid w:val="00AC106A"/>
    <w:rsid w:val="00AC63DB"/>
    <w:rsid w:val="00AE2428"/>
    <w:rsid w:val="00B07E01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471A2"/>
    <w:rsid w:val="00C475E3"/>
    <w:rsid w:val="00C84AEB"/>
    <w:rsid w:val="00C92396"/>
    <w:rsid w:val="00CB4528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554F0"/>
    <w:rsid w:val="00D73A90"/>
    <w:rsid w:val="00D77BA1"/>
    <w:rsid w:val="00D80AD5"/>
    <w:rsid w:val="00D81F9B"/>
    <w:rsid w:val="00D86D7B"/>
    <w:rsid w:val="00DD760A"/>
    <w:rsid w:val="00DF2435"/>
    <w:rsid w:val="00DF2B0E"/>
    <w:rsid w:val="00E04AD6"/>
    <w:rsid w:val="00E06120"/>
    <w:rsid w:val="00E271B8"/>
    <w:rsid w:val="00E365AC"/>
    <w:rsid w:val="00E52870"/>
    <w:rsid w:val="00EB2AD8"/>
    <w:rsid w:val="00ED767F"/>
    <w:rsid w:val="00EE14CB"/>
    <w:rsid w:val="00EE3BCE"/>
    <w:rsid w:val="00EF6E5D"/>
    <w:rsid w:val="00F32447"/>
    <w:rsid w:val="00F37C06"/>
    <w:rsid w:val="00F471D8"/>
    <w:rsid w:val="00F73657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AA6C5E0-153F-4F79-92B1-BD7B3AA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A283-CE32-4BAE-A415-85CB208D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</cp:lastModifiedBy>
  <cp:revision>6</cp:revision>
  <cp:lastPrinted>2013-01-10T12:02:00Z</cp:lastPrinted>
  <dcterms:created xsi:type="dcterms:W3CDTF">2014-06-10T17:28:00Z</dcterms:created>
  <dcterms:modified xsi:type="dcterms:W3CDTF">2014-12-18T17:24:00Z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